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28E5" w14:textId="77777777" w:rsidR="00A33B27" w:rsidRPr="00F436AB" w:rsidRDefault="00A33B27" w:rsidP="00A33B27">
      <w:pPr>
        <w:rPr>
          <w:rFonts w:ascii="Arial" w:hAnsi="Arial" w:cs="Arial"/>
          <w:bCs/>
          <w:sz w:val="20"/>
          <w:szCs w:val="20"/>
        </w:rPr>
      </w:pPr>
    </w:p>
    <w:p w14:paraId="1836B43B" w14:textId="77777777" w:rsidR="00A33B27" w:rsidRPr="00F436AB" w:rsidRDefault="00A33B27" w:rsidP="00A33B27">
      <w:pPr>
        <w:rPr>
          <w:rFonts w:ascii="Arial" w:hAnsi="Arial" w:cs="Arial"/>
          <w:bCs/>
          <w:sz w:val="20"/>
          <w:szCs w:val="20"/>
        </w:rPr>
      </w:pPr>
      <w:r w:rsidRPr="00F436AB">
        <w:rPr>
          <w:rFonts w:ascii="Arial" w:hAnsi="Arial" w:cs="Arial"/>
          <w:bCs/>
          <w:sz w:val="20"/>
          <w:szCs w:val="20"/>
        </w:rPr>
        <w:t>1.1</w:t>
      </w:r>
      <w:r w:rsidRPr="00F436A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F436AB">
        <w:rPr>
          <w:rFonts w:ascii="Arial" w:hAnsi="Arial" w:cs="Arial"/>
          <w:bCs/>
          <w:sz w:val="20"/>
          <w:szCs w:val="20"/>
        </w:rPr>
        <w:tab/>
      </w:r>
      <w:r w:rsidRPr="00F436AB">
        <w:rPr>
          <w:rFonts w:ascii="Arial" w:hAnsi="Arial" w:cs="Arial"/>
          <w:bCs/>
          <w:sz w:val="20"/>
          <w:szCs w:val="20"/>
        </w:rPr>
        <w:tab/>
      </w:r>
      <w:r w:rsidRPr="00F436AB">
        <w:rPr>
          <w:rFonts w:ascii="Arial" w:hAnsi="Arial" w:cs="Arial"/>
          <w:bCs/>
          <w:sz w:val="20"/>
          <w:szCs w:val="20"/>
        </w:rPr>
        <w:tab/>
        <w:t xml:space="preserve"> </w:t>
      </w:r>
      <w:r w:rsidRPr="00F436AB">
        <w:rPr>
          <w:rFonts w:ascii="Arial" w:hAnsi="Arial" w:cs="Arial"/>
          <w:bCs/>
          <w:sz w:val="20"/>
          <w:szCs w:val="20"/>
        </w:rPr>
        <w:tab/>
      </w:r>
      <w:r w:rsidRPr="00F436A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F436AB">
        <w:rPr>
          <w:rFonts w:ascii="Arial" w:hAnsi="Arial" w:cs="Arial"/>
          <w:bCs/>
          <w:sz w:val="20"/>
          <w:szCs w:val="20"/>
        </w:rPr>
        <w:tab/>
      </w:r>
      <w:r w:rsidRPr="00F436AB">
        <w:rPr>
          <w:rFonts w:ascii="Arial" w:hAnsi="Arial" w:cs="Arial"/>
          <w:bCs/>
          <w:sz w:val="20"/>
          <w:szCs w:val="20"/>
        </w:rPr>
        <w:tab/>
      </w:r>
      <w:r w:rsidRPr="00F436AB">
        <w:rPr>
          <w:rFonts w:ascii="Arial" w:hAnsi="Arial" w:cs="Arial"/>
          <w:bCs/>
          <w:sz w:val="20"/>
          <w:szCs w:val="20"/>
        </w:rPr>
        <w:tab/>
        <w:t>…….. €</w:t>
      </w:r>
      <w:r w:rsidRPr="00F436AB">
        <w:rPr>
          <w:rFonts w:ascii="Arial" w:hAnsi="Arial" w:cs="Arial"/>
          <w:bCs/>
          <w:sz w:val="20"/>
          <w:szCs w:val="20"/>
        </w:rPr>
        <w:tab/>
      </w:r>
    </w:p>
    <w:p w14:paraId="05AD0983" w14:textId="77777777" w:rsidR="00A33B27" w:rsidRPr="00F436AB" w:rsidRDefault="00A33B27" w:rsidP="00A33B27">
      <w:pPr>
        <w:ind w:left="1080"/>
        <w:rPr>
          <w:rFonts w:ascii="Arial" w:hAnsi="Arial" w:cs="Arial"/>
          <w:bCs/>
          <w:sz w:val="20"/>
          <w:szCs w:val="20"/>
        </w:rPr>
      </w:pPr>
    </w:p>
    <w:p w14:paraId="5A52A468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 xml:space="preserve">ECO OBX 18-1531/160 </w:t>
      </w:r>
      <w:r>
        <w:rPr>
          <w:rFonts w:ascii="Arial" w:hAnsi="Arial" w:cs="Arial"/>
          <w:sz w:val="20"/>
          <w:szCs w:val="20"/>
        </w:rPr>
        <w:t xml:space="preserve">Objektband </w:t>
      </w:r>
      <w:r w:rsidRPr="00F436AB">
        <w:rPr>
          <w:rFonts w:ascii="Arial" w:hAnsi="Arial" w:cs="Arial"/>
          <w:sz w:val="20"/>
          <w:szCs w:val="20"/>
        </w:rPr>
        <w:t>für gefälzte Türen</w:t>
      </w:r>
    </w:p>
    <w:p w14:paraId="2F79FE01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 xml:space="preserve">3D verstellbares Objektband mit VX Aufnahme </w:t>
      </w:r>
    </w:p>
    <w:p w14:paraId="76122621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Geprüft nach EN 1935, Bandklasse 11,</w:t>
      </w:r>
    </w:p>
    <w:p w14:paraId="314DC1EA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für Türflügelgewichte bis 160 kg.</w:t>
      </w:r>
    </w:p>
    <w:p w14:paraId="0F1506A7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wartungsfreie, patentierte, spielfreie, kugellaufende Lagertechnik</w:t>
      </w:r>
    </w:p>
    <w:p w14:paraId="34ACE393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zur Aufnahme radialer und axialer Kräfte.</w:t>
      </w:r>
    </w:p>
    <w:p w14:paraId="67A34D00" w14:textId="77777777" w:rsidR="00A33B27" w:rsidRPr="00CE4DBE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Bandoberfläche (bei Edelstahl) mit systemidentischem Schliffbild</w:t>
      </w:r>
      <w:r>
        <w:rPr>
          <w:rFonts w:ascii="Arial" w:hAnsi="Arial" w:cs="Arial"/>
          <w:sz w:val="20"/>
          <w:szCs w:val="20"/>
        </w:rPr>
        <w:t>, passt</w:t>
      </w:r>
      <w:r w:rsidRPr="00CE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exakt zu</w:t>
      </w:r>
      <w:r w:rsidRPr="00CE4DBE">
        <w:rPr>
          <w:rFonts w:ascii="Arial" w:hAnsi="Arial" w:cs="Arial"/>
          <w:sz w:val="20"/>
          <w:szCs w:val="20"/>
        </w:rPr>
        <w:t xml:space="preserve"> dem</w:t>
      </w:r>
    </w:p>
    <w:p w14:paraId="7ECDE797" w14:textId="77777777" w:rsidR="00A33B27" w:rsidRPr="00CE4DBE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der Drückergarnitur.</w:t>
      </w:r>
    </w:p>
    <w:p w14:paraId="3C3A8FF4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Geeignet zum Einsatz an Rauch- und Feuerschutztüren.</w:t>
      </w:r>
    </w:p>
    <w:p w14:paraId="2DB16679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 xml:space="preserve">Rollendurchmesser 18mm, Höhe 160 mm, </w:t>
      </w:r>
    </w:p>
    <w:p w14:paraId="09B4F9D7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Ausführung / Material:</w:t>
      </w:r>
    </w:p>
    <w:p w14:paraId="7EE16453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( ) OBX 18-1531/160.ER – Material Edelstahl, matt gebürstet.</w:t>
      </w:r>
    </w:p>
    <w:p w14:paraId="27D2BF56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( ) OBX 18-1531/160.Ni – Material Stahl, matt vernickelt.</w:t>
      </w:r>
      <w:r w:rsidRPr="00F436AB">
        <w:rPr>
          <w:rFonts w:ascii="Arial" w:hAnsi="Arial" w:cs="Arial"/>
          <w:sz w:val="20"/>
          <w:szCs w:val="20"/>
        </w:rPr>
        <w:tab/>
      </w:r>
    </w:p>
    <w:p w14:paraId="5B031165" w14:textId="77777777" w:rsidR="00A33B27" w:rsidRPr="00F436AB" w:rsidRDefault="00A33B27" w:rsidP="00A33B27">
      <w:pPr>
        <w:ind w:left="900"/>
        <w:rPr>
          <w:rFonts w:ascii="Arial" w:hAnsi="Arial" w:cs="Arial"/>
          <w:sz w:val="20"/>
          <w:szCs w:val="20"/>
        </w:rPr>
      </w:pPr>
      <w:r w:rsidRPr="00F436AB">
        <w:rPr>
          <w:rFonts w:ascii="Arial" w:hAnsi="Arial" w:cs="Arial"/>
          <w:sz w:val="20"/>
          <w:szCs w:val="20"/>
        </w:rPr>
        <w:t>( ) OBX 18-1531/160.Zi – Material Stahl, verzinkt.</w:t>
      </w:r>
    </w:p>
    <w:sectPr w:rsidR="00A33B27" w:rsidRPr="00F436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B54D" w14:textId="77777777" w:rsidR="002C2446" w:rsidRDefault="002C2446">
      <w:r>
        <w:separator/>
      </w:r>
    </w:p>
  </w:endnote>
  <w:endnote w:type="continuationSeparator" w:id="0">
    <w:p w14:paraId="1E0E96ED" w14:textId="77777777" w:rsidR="002C2446" w:rsidRDefault="002C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9DF" w14:textId="77777777" w:rsidR="002C2446" w:rsidRDefault="002C2446">
      <w:r>
        <w:separator/>
      </w:r>
    </w:p>
  </w:footnote>
  <w:footnote w:type="continuationSeparator" w:id="0">
    <w:p w14:paraId="1BC3EDCA" w14:textId="77777777" w:rsidR="002C2446" w:rsidRDefault="002C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C11F" w14:textId="77777777" w:rsidR="00A33B27" w:rsidRDefault="00A33B27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7CED8026" w14:textId="77777777" w:rsidR="00A33B27" w:rsidRDefault="00A33B27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E5A335B" w14:textId="77777777" w:rsidR="00A33B27" w:rsidRPr="009D3173" w:rsidRDefault="00A33B27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60120150">
    <w:abstractNumId w:val="0"/>
  </w:num>
  <w:num w:numId="2" w16cid:durableId="164419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C2446"/>
    <w:rsid w:val="00A33B27"/>
    <w:rsid w:val="00CC4C8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DF16540"/>
  <w15:chartTrackingRefBased/>
  <w15:docId w15:val="{D9A77E08-FC88-5E4E-A0BD-A2D26BD9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2022-12-12T10:27:00Z</dcterms:created>
  <dcterms:modified xsi:type="dcterms:W3CDTF">2022-12-12T10:27:00Z</dcterms:modified>
</cp:coreProperties>
</file>