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B9610" w14:textId="77777777" w:rsidR="006D67D2" w:rsidRPr="00941D67" w:rsidRDefault="006D67D2" w:rsidP="006D67D2">
      <w:pPr>
        <w:rPr>
          <w:rFonts w:ascii="Arial" w:hAnsi="Arial" w:cs="Arial"/>
          <w:bCs/>
          <w:sz w:val="20"/>
          <w:szCs w:val="20"/>
        </w:rPr>
      </w:pPr>
    </w:p>
    <w:p w14:paraId="630895F0" w14:textId="77777777" w:rsidR="006D67D2" w:rsidRPr="00941D67" w:rsidRDefault="006D67D2" w:rsidP="006D67D2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1.1</w:t>
      </w:r>
      <w:r>
        <w:rPr>
          <w:rFonts w:ascii="Arial" w:hAnsi="Arial" w:cs="Arial"/>
          <w:bCs/>
          <w:sz w:val="20"/>
          <w:szCs w:val="20"/>
        </w:rPr>
        <w:tab/>
        <w:t xml:space="preserve">    </w:t>
      </w:r>
      <w:r w:rsidRPr="00941D67">
        <w:rPr>
          <w:rFonts w:ascii="Arial" w:hAnsi="Arial" w:cs="Arial"/>
          <w:bCs/>
          <w:sz w:val="20"/>
          <w:szCs w:val="20"/>
        </w:rPr>
        <w:t>….. St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</w:t>
      </w:r>
      <w:r w:rsidRPr="00941D67">
        <w:rPr>
          <w:rFonts w:ascii="Arial" w:hAnsi="Arial" w:cs="Arial"/>
          <w:bCs/>
          <w:sz w:val="20"/>
          <w:szCs w:val="20"/>
        </w:rPr>
        <w:t>…….. €</w:t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</w:r>
      <w:r w:rsidRPr="00941D67">
        <w:rPr>
          <w:rFonts w:ascii="Arial" w:hAnsi="Arial" w:cs="Arial"/>
          <w:bCs/>
          <w:sz w:val="20"/>
          <w:szCs w:val="20"/>
        </w:rPr>
        <w:tab/>
        <w:t>…….. €</w:t>
      </w:r>
      <w:r w:rsidRPr="00941D67">
        <w:rPr>
          <w:rFonts w:ascii="Arial" w:hAnsi="Arial" w:cs="Arial"/>
          <w:bCs/>
          <w:sz w:val="20"/>
          <w:szCs w:val="20"/>
        </w:rPr>
        <w:tab/>
      </w:r>
    </w:p>
    <w:p w14:paraId="5B6D05E2" w14:textId="77777777" w:rsidR="006D67D2" w:rsidRDefault="006D67D2" w:rsidP="006D67D2">
      <w:pPr>
        <w:ind w:left="1080"/>
        <w:rPr>
          <w:rFonts w:ascii="Arial" w:hAnsi="Arial" w:cs="Arial"/>
          <w:bCs/>
          <w:sz w:val="20"/>
          <w:szCs w:val="20"/>
        </w:rPr>
      </w:pPr>
    </w:p>
    <w:p w14:paraId="00879169" w14:textId="77777777" w:rsidR="006D67D2" w:rsidRDefault="006D67D2" w:rsidP="006D67D2">
      <w:pPr>
        <w:ind w:left="900"/>
        <w:rPr>
          <w:rFonts w:ascii="Arial" w:hAnsi="Arial" w:cs="Arial"/>
          <w:sz w:val="20"/>
          <w:szCs w:val="20"/>
        </w:rPr>
      </w:pPr>
      <w:r w:rsidRPr="00941D67">
        <w:rPr>
          <w:rFonts w:ascii="Arial" w:hAnsi="Arial" w:cs="Arial"/>
          <w:sz w:val="20"/>
          <w:szCs w:val="20"/>
        </w:rPr>
        <w:t xml:space="preserve">ECO </w:t>
      </w:r>
      <w:r>
        <w:rPr>
          <w:rFonts w:ascii="Arial" w:hAnsi="Arial" w:cs="Arial"/>
          <w:sz w:val="20"/>
          <w:szCs w:val="20"/>
        </w:rPr>
        <w:t>OBX 18-1532/160-FD Objektband für gefälzte Türen mit Flügeldichtung</w:t>
      </w:r>
    </w:p>
    <w:p w14:paraId="6BE2289B" w14:textId="77777777" w:rsidR="006D67D2" w:rsidRPr="007B3CEE" w:rsidRDefault="006D67D2" w:rsidP="006D67D2">
      <w:pPr>
        <w:ind w:left="900"/>
        <w:rPr>
          <w:rFonts w:ascii="Arial" w:hAnsi="Arial" w:cs="Arial"/>
          <w:sz w:val="20"/>
          <w:szCs w:val="20"/>
        </w:rPr>
      </w:pPr>
      <w:r w:rsidRPr="007B3CEE">
        <w:rPr>
          <w:rFonts w:ascii="Arial" w:hAnsi="Arial" w:cs="Arial"/>
          <w:sz w:val="20"/>
          <w:szCs w:val="20"/>
        </w:rPr>
        <w:t xml:space="preserve">3D verstellbares Objektband mit VX Aufnahme </w:t>
      </w:r>
    </w:p>
    <w:p w14:paraId="5E3CBCBE" w14:textId="77777777" w:rsidR="006D67D2" w:rsidRPr="007B3CEE" w:rsidRDefault="006D67D2" w:rsidP="006D67D2">
      <w:pPr>
        <w:ind w:left="900"/>
        <w:rPr>
          <w:rFonts w:ascii="Arial" w:hAnsi="Arial" w:cs="Arial"/>
          <w:sz w:val="20"/>
          <w:szCs w:val="20"/>
        </w:rPr>
      </w:pPr>
      <w:r w:rsidRPr="007B3CEE">
        <w:rPr>
          <w:rFonts w:ascii="Arial" w:hAnsi="Arial" w:cs="Arial"/>
          <w:sz w:val="20"/>
          <w:szCs w:val="20"/>
        </w:rPr>
        <w:t>Geprüft nach EN 1935, Bandklasse 11,</w:t>
      </w:r>
    </w:p>
    <w:p w14:paraId="5B21A2C2" w14:textId="77777777" w:rsidR="006D67D2" w:rsidRPr="007B3CEE" w:rsidRDefault="006D67D2" w:rsidP="006D67D2">
      <w:pPr>
        <w:ind w:left="900"/>
        <w:rPr>
          <w:rFonts w:ascii="Arial" w:hAnsi="Arial" w:cs="Arial"/>
          <w:sz w:val="20"/>
          <w:szCs w:val="20"/>
        </w:rPr>
      </w:pPr>
      <w:r w:rsidRPr="007B3CEE">
        <w:rPr>
          <w:rFonts w:ascii="Arial" w:hAnsi="Arial" w:cs="Arial"/>
          <w:sz w:val="20"/>
          <w:szCs w:val="20"/>
        </w:rPr>
        <w:t xml:space="preserve">für Türflügelgewichte bis 160 kg. </w:t>
      </w:r>
    </w:p>
    <w:p w14:paraId="346DCF3C" w14:textId="77777777" w:rsidR="006D67D2" w:rsidRPr="007B3CEE" w:rsidRDefault="006D67D2" w:rsidP="006D67D2">
      <w:pPr>
        <w:ind w:left="900"/>
        <w:rPr>
          <w:rFonts w:ascii="Arial" w:hAnsi="Arial" w:cs="Arial"/>
          <w:sz w:val="20"/>
          <w:szCs w:val="20"/>
        </w:rPr>
      </w:pPr>
      <w:r w:rsidRPr="007B3CEE">
        <w:rPr>
          <w:rFonts w:ascii="Arial" w:hAnsi="Arial" w:cs="Arial"/>
          <w:sz w:val="20"/>
          <w:szCs w:val="20"/>
        </w:rPr>
        <w:t>wartungsfreie, patentierte, spielfreie, kugellaufende Lagertechnik</w:t>
      </w:r>
    </w:p>
    <w:p w14:paraId="73B3F3B4" w14:textId="77777777" w:rsidR="006D67D2" w:rsidRPr="007B3CEE" w:rsidRDefault="006D67D2" w:rsidP="006D67D2">
      <w:pPr>
        <w:ind w:left="900"/>
        <w:rPr>
          <w:rFonts w:ascii="Arial" w:hAnsi="Arial" w:cs="Arial"/>
          <w:sz w:val="20"/>
          <w:szCs w:val="20"/>
        </w:rPr>
      </w:pPr>
      <w:r w:rsidRPr="007B3CEE">
        <w:rPr>
          <w:rFonts w:ascii="Arial" w:hAnsi="Arial" w:cs="Arial"/>
          <w:sz w:val="20"/>
          <w:szCs w:val="20"/>
        </w:rPr>
        <w:t>zur Aufnahme radialer und axialer Kräfte.</w:t>
      </w:r>
    </w:p>
    <w:p w14:paraId="59994876" w14:textId="77777777" w:rsidR="006D67D2" w:rsidRPr="00CE4DBE" w:rsidRDefault="006D67D2" w:rsidP="006D67D2">
      <w:pPr>
        <w:ind w:left="900"/>
        <w:rPr>
          <w:rFonts w:ascii="Arial" w:hAnsi="Arial" w:cs="Arial"/>
          <w:sz w:val="20"/>
          <w:szCs w:val="20"/>
        </w:rPr>
      </w:pPr>
      <w:r w:rsidRPr="00CE4DBE">
        <w:rPr>
          <w:rFonts w:ascii="Arial" w:hAnsi="Arial" w:cs="Arial"/>
          <w:sz w:val="20"/>
          <w:szCs w:val="20"/>
        </w:rPr>
        <w:t>Bandoberfläche (bei Edelstahl) mit systemidentischem Schliffbild</w:t>
      </w:r>
      <w:r>
        <w:rPr>
          <w:rFonts w:ascii="Arial" w:hAnsi="Arial" w:cs="Arial"/>
          <w:sz w:val="20"/>
          <w:szCs w:val="20"/>
        </w:rPr>
        <w:t>, passt</w:t>
      </w:r>
      <w:r w:rsidRPr="00CE4D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exakt zu</w:t>
      </w:r>
      <w:r w:rsidRPr="00CE4DBE">
        <w:rPr>
          <w:rFonts w:ascii="Arial" w:hAnsi="Arial" w:cs="Arial"/>
          <w:sz w:val="20"/>
          <w:szCs w:val="20"/>
        </w:rPr>
        <w:t xml:space="preserve"> dem</w:t>
      </w:r>
    </w:p>
    <w:p w14:paraId="687DAB4F" w14:textId="77777777" w:rsidR="006D67D2" w:rsidRPr="00CE4DBE" w:rsidRDefault="006D67D2" w:rsidP="006D67D2">
      <w:pPr>
        <w:ind w:left="900"/>
        <w:rPr>
          <w:rFonts w:ascii="Arial" w:hAnsi="Arial" w:cs="Arial"/>
          <w:sz w:val="20"/>
          <w:szCs w:val="20"/>
        </w:rPr>
      </w:pPr>
      <w:r w:rsidRPr="00CE4DBE">
        <w:rPr>
          <w:rFonts w:ascii="Arial" w:hAnsi="Arial" w:cs="Arial"/>
          <w:sz w:val="20"/>
          <w:szCs w:val="20"/>
        </w:rPr>
        <w:t>der Drückergarnitur.</w:t>
      </w:r>
    </w:p>
    <w:p w14:paraId="3821EABD" w14:textId="77777777" w:rsidR="006D67D2" w:rsidRPr="007B3CEE" w:rsidRDefault="006D67D2" w:rsidP="006D67D2">
      <w:pPr>
        <w:ind w:left="900"/>
        <w:rPr>
          <w:rFonts w:ascii="Arial" w:hAnsi="Arial" w:cs="Arial"/>
          <w:sz w:val="20"/>
          <w:szCs w:val="20"/>
        </w:rPr>
      </w:pPr>
      <w:r w:rsidRPr="007B3CEE">
        <w:rPr>
          <w:rFonts w:ascii="Arial" w:hAnsi="Arial" w:cs="Arial"/>
          <w:sz w:val="20"/>
          <w:szCs w:val="20"/>
        </w:rPr>
        <w:t>Geeignet zum Einsatz an Rauch- und Feuerschutztüren.</w:t>
      </w:r>
    </w:p>
    <w:p w14:paraId="083723DD" w14:textId="77777777" w:rsidR="006D67D2" w:rsidRPr="007B3CEE" w:rsidRDefault="006D67D2" w:rsidP="006D67D2">
      <w:pPr>
        <w:ind w:left="900"/>
        <w:rPr>
          <w:rFonts w:ascii="Arial" w:hAnsi="Arial" w:cs="Arial"/>
          <w:sz w:val="20"/>
          <w:szCs w:val="20"/>
        </w:rPr>
      </w:pPr>
      <w:r w:rsidRPr="007B3CEE">
        <w:rPr>
          <w:rFonts w:ascii="Arial" w:hAnsi="Arial" w:cs="Arial"/>
          <w:sz w:val="20"/>
          <w:szCs w:val="20"/>
        </w:rPr>
        <w:t xml:space="preserve">Rollendurchmesser 18mm, Höhe 160 mm, </w:t>
      </w:r>
    </w:p>
    <w:p w14:paraId="46678889" w14:textId="77777777" w:rsidR="006D67D2" w:rsidRPr="007B3CEE" w:rsidRDefault="006D67D2" w:rsidP="006D67D2">
      <w:pPr>
        <w:ind w:left="900"/>
        <w:rPr>
          <w:rFonts w:ascii="Arial" w:hAnsi="Arial" w:cs="Arial"/>
          <w:sz w:val="20"/>
          <w:szCs w:val="20"/>
        </w:rPr>
      </w:pPr>
      <w:r w:rsidRPr="007B3CEE">
        <w:rPr>
          <w:rFonts w:ascii="Arial" w:hAnsi="Arial" w:cs="Arial"/>
          <w:sz w:val="20"/>
          <w:szCs w:val="20"/>
        </w:rPr>
        <w:t>Ausführung / Material:</w:t>
      </w:r>
    </w:p>
    <w:p w14:paraId="0CEDD2E7" w14:textId="77777777" w:rsidR="006D67D2" w:rsidRPr="007B3CEE" w:rsidRDefault="006D67D2" w:rsidP="006D67D2">
      <w:pPr>
        <w:ind w:left="900"/>
        <w:rPr>
          <w:rFonts w:ascii="Arial" w:hAnsi="Arial" w:cs="Arial"/>
          <w:sz w:val="20"/>
          <w:szCs w:val="20"/>
        </w:rPr>
      </w:pPr>
      <w:r w:rsidRPr="007B3CEE">
        <w:rPr>
          <w:rFonts w:ascii="Arial" w:hAnsi="Arial" w:cs="Arial"/>
          <w:sz w:val="20"/>
          <w:szCs w:val="20"/>
        </w:rPr>
        <w:t>OBX 18-1532/160-FD.ER – Material Edelstahl, matt gebürstet.</w:t>
      </w:r>
    </w:p>
    <w:sectPr w:rsidR="006D67D2" w:rsidRPr="007B3CEE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4BF30" w14:textId="77777777" w:rsidR="00F84E58" w:rsidRDefault="00F84E58">
      <w:r>
        <w:separator/>
      </w:r>
    </w:p>
  </w:endnote>
  <w:endnote w:type="continuationSeparator" w:id="0">
    <w:p w14:paraId="5B846304" w14:textId="77777777" w:rsidR="00F84E58" w:rsidRDefault="00F8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EA323" w14:textId="77777777" w:rsidR="00F84E58" w:rsidRDefault="00F84E58">
      <w:r>
        <w:separator/>
      </w:r>
    </w:p>
  </w:footnote>
  <w:footnote w:type="continuationSeparator" w:id="0">
    <w:p w14:paraId="6E5732DA" w14:textId="77777777" w:rsidR="00F84E58" w:rsidRDefault="00F84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A482B" w14:textId="77777777" w:rsidR="006D67D2" w:rsidRDefault="006D67D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5E6F6F90" w14:textId="77777777" w:rsidR="006D67D2" w:rsidRDefault="006D67D2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7417CE43" w14:textId="77777777" w:rsidR="006D67D2" w:rsidRPr="009D3173" w:rsidRDefault="006D67D2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534544069">
    <w:abstractNumId w:val="0"/>
  </w:num>
  <w:num w:numId="2" w16cid:durableId="698508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293BBD"/>
    <w:rsid w:val="006D67D2"/>
    <w:rsid w:val="00F84E5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4D095401"/>
  <w15:chartTrackingRefBased/>
  <w15:docId w15:val="{E6ECB212-0F34-D045-A846-F3C467E8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dc:description/>
  <cp:lastModifiedBy>Christian Schwarzkopf</cp:lastModifiedBy>
  <cp:revision>2</cp:revision>
  <cp:lastPrinted>2009-01-06T10:01:00Z</cp:lastPrinted>
  <dcterms:created xsi:type="dcterms:W3CDTF">2022-12-12T10:26:00Z</dcterms:created>
  <dcterms:modified xsi:type="dcterms:W3CDTF">2022-12-12T10:26:00Z</dcterms:modified>
</cp:coreProperties>
</file>